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24.10.2024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299-20-3-2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25.10.2024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25.10 на большей части территории, 26-28.10 в отдельных районах сохранится высокая пожароопасность (4 класса).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b/>
          <w:sz w:val="28"/>
          <w:szCs w:val="28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iCs/>
          <w:color w:val="000000"/>
          <w:sz w:val="28"/>
          <w:szCs w:val="28"/>
        </w:rPr>
        <w:t>По данным КЛМС 'Искитим' в гг. Искитим и Бердск: в г. Искитим Пыль -до 1,2 ПДК; в г. Бердск Пыль - до 1,1 ПДК.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113,33 мБС (Балтийской системы измерений), сброс 1090 м³/с, приток 1250 м³/с. Уровень воды в реке Обь в районе</w:t>
        <w:br/>
        <w:t>г. Новосибирск находится на отметке -1 см.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  <w:shd w:fill="FFFF00" w:val="clear"/>
        </w:rPr>
      </w:pPr>
      <w:r>
        <w:rPr>
          <w:b/>
          <w:bCs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/>
      </w:pPr>
      <w:r>
        <w:rPr>
          <w:rStyle w:val="11"/>
          <w:bCs/>
          <w:color w:val="000000"/>
          <w:sz w:val="28"/>
          <w:szCs w:val="28"/>
        </w:rPr>
        <w:t>По данным ФГБУ «Западно - Сибирское УГМС» в Новосибирской области на территории 23 районов установилась высокая пожароопасность 4 класса, на остальной территории – пожароопасность 1-го, 2-го и 3-го классов.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pacing w:val="-6"/>
          <w:sz w:val="28"/>
          <w:szCs w:val="28"/>
        </w:rPr>
        <w:t xml:space="preserve">По данным космического мониторинга за сутки на территории области термические точки не зафиксированы (АППГ - 0, из них в 5-ти километровой зоне - 0). </w:t>
      </w:r>
    </w:p>
    <w:p>
      <w:pPr>
        <w:pStyle w:val="126"/>
        <w:ind w:firstLine="567"/>
        <w:jc w:val="both"/>
        <w:rPr/>
      </w:pPr>
      <w:r>
        <w:rPr>
          <w:bCs/>
          <w:iCs/>
          <w:color w:val="000000"/>
          <w:spacing w:val="-6"/>
          <w:sz w:val="28"/>
          <w:szCs w:val="28"/>
        </w:rPr>
        <w:t>Всего с начала года зарегистрировано 1038 термических точек (АППГ - 8427), из них в 5-ти километровой зоне - 853 (АППГ - 5283)</w:t>
      </w:r>
      <w:r>
        <w:rPr>
          <w:rStyle w:val="11"/>
          <w:bCs/>
          <w:iCs/>
          <w:color w:val="000000"/>
          <w:spacing w:val="-6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Стабильная</w:t>
      </w:r>
      <w:r>
        <w:rPr>
          <w:bCs/>
          <w:sz w:val="28"/>
          <w:szCs w:val="28"/>
        </w:rPr>
        <w:t>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9 пожаров, из них 5 в жилом секторе, в результате которых погибших нет, 1 человек травмирован.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color w:val="FF4000"/>
          <w:sz w:val="28"/>
          <w:szCs w:val="28"/>
          <w:highlight w:val="yellow"/>
        </w:rPr>
      </w:pPr>
      <w:r>
        <w:rPr>
          <w:color w:val="FF4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/>
      </w:pPr>
      <w:bookmarkStart w:id="0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2 человека погибли, 5 человек травмировано.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16826015"/>
      <w:bookmarkStart w:id="3" w:name="_Hlk112072656"/>
      <w:bookmarkStart w:id="4" w:name="_Hlk99801931"/>
      <w:bookmarkStart w:id="5" w:name="_Hlk101450800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Облачно, ночью местами небольшие, днем небольшие, местами умеренные дожди.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Ветер юго-западный ночью 3-8 м/с, местами порывы до 13 м/с, днём 6-11 м/с, местами порывы до 18 м/с.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Температура воздуха ночью 0, +5°С, днём +6, +11°С.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</w:t>
      </w:r>
      <w:bookmarkStart w:id="7" w:name="_GoBack"/>
      <w:bookmarkEnd w:id="7"/>
      <w:r>
        <w:rPr>
          <w:bCs/>
          <w:color w:val="000000"/>
          <w:sz w:val="28"/>
          <w:szCs w:val="28"/>
        </w:rPr>
        <w:t>опосту на р. Обь г. Новосибирск ожидается в районе 0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 норме.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По данным ФГБУ «Западно - Сибирское УГМС» на территории Новосибирской области в 23 районах (Кыштовском, Усть-Таркском, Венгеровском, Чановском, Татарском, Куйбышевском, Убинском, Каргатском, Чулымском, Коченевском, Колыванском, Мошковском, Тогучинском, Новосибирском, Чистоозерном, Купинском, Баганском, Здвинском, Доволенском, Ордынском, Маслянинском, Краснозерском и Карасукском) сохранится высокая пожароопасность 4 класса, в остальных районах – пожароопасность 1-го, 2-го и 3-го классов.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 связи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/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ar-SA"/>
        </w:rPr>
        <w:t>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  <w:lang w:eastAsia="ar-SA"/>
        </w:rPr>
      </w:pPr>
      <w:r>
        <w:rPr>
          <w:sz w:val="28"/>
          <w:szCs w:val="28"/>
          <w:highlight w:val="yellow"/>
          <w:shd w:fill="FFFF00" w:val="clear"/>
          <w:lang w:eastAsia="ar-SA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В связи с прогнозируемыми порывами ветра до 18 м/с, возможно падение аварийных деревьев и слабозакрепленных конструкций.</w:t>
      </w:r>
      <w:r>
        <w:rPr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9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2.14.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Осадки,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автомобильного транспорта по грунтовым дорогам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0" w:name="_Hlk84255620"/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4110990</wp:posOffset>
            </wp:positionH>
            <wp:positionV relativeFrom="paragraph">
              <wp:posOffset>102235</wp:posOffset>
            </wp:positionV>
            <wp:extent cx="835025" cy="38989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полковник вн. службы                                                                           А.Н. Савицкий</w:t>
      </w:r>
    </w:p>
    <w:p>
      <w:pPr>
        <w:pStyle w:val="Normal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 Антонов Д .А.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851"/>
      <w:pgNumType w:fmt="decimal"/>
      <w:formProt w:val="false"/>
      <w:titlePg/>
      <w:textDirection w:val="lrTb"/>
      <w:docGrid w:type="default" w:linePitch="360" w:charSpace="4259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6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uiPriority w:val="99"/>
    <w:unhideWhenUsed/>
    <w:qFormat/>
    <w:rPr>
      <w:vertAlign w:val="superscript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4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>
    <w:name w:val="Internet Link32"/>
    <w:qFormat/>
    <w:rPr>
      <w:color w:val="000080"/>
      <w:u w:val="single"/>
    </w:rPr>
  </w:style>
  <w:style w:type="character" w:styleId="InternetLink33">
    <w:name w:val="Internet Link33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qFormat/>
    <w:pPr>
      <w:widowControl w:val="false"/>
      <w:jc w:val="both"/>
    </w:pPr>
    <w:rPr/>
  </w:style>
  <w:style w:type="paragraph" w:styleId="Style22">
    <w:name w:val="List"/>
    <w:basedOn w:val="Style21"/>
    <w:qFormat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Title"/>
    <w:basedOn w:val="Normal"/>
    <w:next w:val="Style21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5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BodyTextIndented" w:customStyle="1">
    <w:name w:val="Body Text;Indented"/>
    <w:basedOn w:val="Normal"/>
    <w:qFormat/>
    <w:pPr>
      <w:ind w:left="851" w:firstLine="709"/>
      <w:jc w:val="both"/>
    </w:pPr>
    <w:rPr>
      <w:sz w:val="28"/>
    </w:rPr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4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6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7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8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2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3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yle21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numbering" w:styleId="Style3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CDB3-0A51-4B0C-8649-EDD91143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43764</TotalTime>
  <Application>LibreOffice/7.4.1.2$Linux_X86_64 LibreOffice_project/3c58a8f3a960df8bc8fd77b461821e42c061c5f0</Application>
  <AppVersion>15.0000</AppVersion>
  <Pages>14</Pages>
  <Words>2966</Words>
  <Characters>22885</Characters>
  <CharactersWithSpaces>25429</CharactersWithSpaces>
  <Paragraphs>529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2024-10-24T15:56:07Z</dcterms:modified>
  <cp:revision>976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